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A11" w:rsidRDefault="00ED5A11" w:rsidP="00ED5A11">
      <w:pPr>
        <w:spacing w:after="0"/>
        <w:rPr>
          <w:sz w:val="20"/>
          <w:szCs w:val="20"/>
        </w:rPr>
      </w:pPr>
    </w:p>
    <w:p w:rsidR="00746A15" w:rsidRDefault="004815C0" w:rsidP="004815C0">
      <w:pPr>
        <w:spacing w:after="0"/>
        <w:jc w:val="center"/>
        <w:rPr>
          <w:b/>
          <w:sz w:val="24"/>
          <w:szCs w:val="24"/>
        </w:rPr>
      </w:pPr>
      <w:r>
        <w:rPr>
          <w:b/>
          <w:sz w:val="24"/>
          <w:szCs w:val="24"/>
        </w:rPr>
        <w:t>International Conference</w:t>
      </w:r>
    </w:p>
    <w:p w:rsidR="004815C0" w:rsidRDefault="004815C0" w:rsidP="004815C0">
      <w:pPr>
        <w:spacing w:after="0"/>
        <w:jc w:val="center"/>
        <w:rPr>
          <w:b/>
          <w:sz w:val="28"/>
          <w:szCs w:val="28"/>
        </w:rPr>
      </w:pPr>
      <w:r w:rsidRPr="004815C0">
        <w:rPr>
          <w:b/>
          <w:sz w:val="28"/>
          <w:szCs w:val="28"/>
        </w:rPr>
        <w:t>Communication and entrepreneurship</w:t>
      </w:r>
      <w:r w:rsidR="00337295">
        <w:rPr>
          <w:b/>
          <w:sz w:val="28"/>
          <w:szCs w:val="28"/>
        </w:rPr>
        <w:t xml:space="preserve"> in the European context</w:t>
      </w:r>
    </w:p>
    <w:p w:rsidR="004815C0" w:rsidRDefault="004815C0" w:rsidP="004815C0">
      <w:pPr>
        <w:spacing w:after="0"/>
        <w:jc w:val="center"/>
        <w:rPr>
          <w:b/>
          <w:sz w:val="28"/>
          <w:szCs w:val="28"/>
        </w:rPr>
      </w:pPr>
    </w:p>
    <w:p w:rsidR="004815C0" w:rsidRPr="004815C0" w:rsidRDefault="004815C0" w:rsidP="004815C0">
      <w:pPr>
        <w:spacing w:after="0"/>
        <w:jc w:val="center"/>
        <w:rPr>
          <w:b/>
          <w:sz w:val="24"/>
          <w:szCs w:val="24"/>
        </w:rPr>
      </w:pPr>
      <w:r>
        <w:rPr>
          <w:b/>
          <w:sz w:val="24"/>
          <w:szCs w:val="24"/>
        </w:rPr>
        <w:t xml:space="preserve">National University of Political Studies and </w:t>
      </w:r>
      <w:r w:rsidR="00BB2087">
        <w:rPr>
          <w:b/>
          <w:sz w:val="24"/>
          <w:szCs w:val="24"/>
        </w:rPr>
        <w:t>Public</w:t>
      </w:r>
      <w:r>
        <w:rPr>
          <w:b/>
          <w:sz w:val="24"/>
          <w:szCs w:val="24"/>
        </w:rPr>
        <w:t xml:space="preserve"> Administration</w:t>
      </w:r>
    </w:p>
    <w:p w:rsidR="004815C0" w:rsidRDefault="004815C0" w:rsidP="004815C0">
      <w:pPr>
        <w:spacing w:after="0"/>
        <w:jc w:val="center"/>
        <w:rPr>
          <w:b/>
          <w:sz w:val="24"/>
          <w:szCs w:val="24"/>
        </w:rPr>
      </w:pPr>
      <w:r>
        <w:rPr>
          <w:b/>
          <w:sz w:val="24"/>
          <w:szCs w:val="24"/>
        </w:rPr>
        <w:t>Bucharest, June 8-9, 2015</w:t>
      </w:r>
    </w:p>
    <w:p w:rsidR="004815C0" w:rsidRDefault="004815C0" w:rsidP="004815C0">
      <w:pPr>
        <w:spacing w:after="0"/>
        <w:jc w:val="center"/>
        <w:rPr>
          <w:b/>
          <w:sz w:val="24"/>
          <w:szCs w:val="24"/>
        </w:rPr>
      </w:pPr>
    </w:p>
    <w:p w:rsidR="00843632" w:rsidRPr="00843632" w:rsidRDefault="00843632" w:rsidP="004815C0">
      <w:pPr>
        <w:spacing w:after="0"/>
        <w:jc w:val="both"/>
        <w:rPr>
          <w:sz w:val="20"/>
          <w:szCs w:val="20"/>
        </w:rPr>
      </w:pPr>
    </w:p>
    <w:p w:rsidR="0042062C" w:rsidRPr="00C93971" w:rsidRDefault="00337295" w:rsidP="005A18A2">
      <w:pPr>
        <w:spacing w:after="0"/>
        <w:jc w:val="both"/>
      </w:pPr>
      <w:r w:rsidRPr="00C93971">
        <w:t xml:space="preserve">Today it is a well-established fact that </w:t>
      </w:r>
      <w:r w:rsidR="00C943EE" w:rsidRPr="00C93971">
        <w:t xml:space="preserve">not only </w:t>
      </w:r>
      <w:r w:rsidR="00E14F1B" w:rsidRPr="00C93971">
        <w:t>entrepreneurship</w:t>
      </w:r>
      <w:r w:rsidR="00C943EE" w:rsidRPr="00C93971">
        <w:t xml:space="preserve">, but also communication </w:t>
      </w:r>
      <w:r w:rsidR="00411D17" w:rsidRPr="00C93971">
        <w:t xml:space="preserve"> </w:t>
      </w:r>
      <w:r w:rsidR="00C943EE" w:rsidRPr="00C93971">
        <w:t>are</w:t>
      </w:r>
      <w:r w:rsidR="00411D17" w:rsidRPr="00C93971">
        <w:t xml:space="preserve"> crucial to business development and </w:t>
      </w:r>
      <w:r w:rsidR="00B062AD" w:rsidRPr="00C93971">
        <w:t xml:space="preserve">economic </w:t>
      </w:r>
      <w:r w:rsidR="00411D17" w:rsidRPr="00C93971">
        <w:t xml:space="preserve">growth. </w:t>
      </w:r>
      <w:r w:rsidR="00E14F1B" w:rsidRPr="00C93971">
        <w:t xml:space="preserve">Under the pressure of </w:t>
      </w:r>
      <w:r w:rsidR="009F56A8">
        <w:t>globalization</w:t>
      </w:r>
      <w:r w:rsidR="00E14F1B" w:rsidRPr="00C93971">
        <w:t xml:space="preserve"> and integration, the European Union has no other choice but to stimulate the entrepreneurial spirit of European citizens by means of enhancing entrepreneurship-related policymaking, by promoting entrepreneurship education or by better </w:t>
      </w:r>
      <w:r w:rsidR="0042062C" w:rsidRPr="00C93971">
        <w:t>communicating with its citizens in order to create the necessary environment for entrepreneurial development. How does communication impact on the economic performance of the European Union? Does the EU have a solid entrepreneurship policy? Is the EU communication policy linked to the European entrepreneurship? This Conference aims to invite participants to reflect on these questions and others similar to them and to spur debate on the European communication and entrepreneurship.</w:t>
      </w:r>
    </w:p>
    <w:p w:rsidR="0042062C" w:rsidRPr="00C93971" w:rsidRDefault="0042062C" w:rsidP="005A18A2">
      <w:pPr>
        <w:spacing w:after="0"/>
        <w:jc w:val="both"/>
      </w:pPr>
    </w:p>
    <w:p w:rsidR="0042062C" w:rsidRPr="00C93971" w:rsidRDefault="0042062C" w:rsidP="0042062C">
      <w:pPr>
        <w:jc w:val="both"/>
      </w:pPr>
      <w:r w:rsidRPr="00C93971">
        <w:t>While there may not be any definitive answers to the questions outlined above, here are some of the topics (the list is not exhaustive) to be addressed during the conference:</w:t>
      </w:r>
    </w:p>
    <w:p w:rsidR="0042062C" w:rsidRPr="00CE2631" w:rsidRDefault="00524BA3" w:rsidP="0042062C">
      <w:pPr>
        <w:pStyle w:val="ListParagraph"/>
        <w:numPr>
          <w:ilvl w:val="0"/>
          <w:numId w:val="1"/>
        </w:numPr>
        <w:jc w:val="both"/>
      </w:pPr>
      <w:r w:rsidRPr="00CE2631">
        <w:t>communication and innovation;</w:t>
      </w:r>
    </w:p>
    <w:p w:rsidR="00524BA3" w:rsidRPr="00CE2631" w:rsidRDefault="00524BA3" w:rsidP="0042062C">
      <w:pPr>
        <w:pStyle w:val="ListParagraph"/>
        <w:numPr>
          <w:ilvl w:val="0"/>
          <w:numId w:val="1"/>
        </w:numPr>
        <w:jc w:val="both"/>
      </w:pPr>
      <w:r w:rsidRPr="00CE2631">
        <w:t>entrepreneurship education and communication;</w:t>
      </w:r>
    </w:p>
    <w:p w:rsidR="00524BA3" w:rsidRPr="00CE2631" w:rsidRDefault="00524BA3" w:rsidP="0042062C">
      <w:pPr>
        <w:pStyle w:val="ListParagraph"/>
        <w:numPr>
          <w:ilvl w:val="0"/>
          <w:numId w:val="1"/>
        </w:numPr>
        <w:jc w:val="both"/>
      </w:pPr>
      <w:r w:rsidRPr="00CE2631">
        <w:t>competitiveness, growth and job creation in the EU;</w:t>
      </w:r>
    </w:p>
    <w:p w:rsidR="0075612D" w:rsidRPr="00CE2631" w:rsidRDefault="0075612D" w:rsidP="0042062C">
      <w:pPr>
        <w:pStyle w:val="ListParagraph"/>
        <w:numPr>
          <w:ilvl w:val="0"/>
          <w:numId w:val="1"/>
        </w:numPr>
        <w:jc w:val="both"/>
      </w:pPr>
      <w:r w:rsidRPr="00CE2631">
        <w:t xml:space="preserve">youth education and employment strategies </w:t>
      </w:r>
      <w:bookmarkStart w:id="0" w:name="_GoBack"/>
      <w:bookmarkEnd w:id="0"/>
      <w:r w:rsidRPr="00CE2631">
        <w:t>in the EU;</w:t>
      </w:r>
    </w:p>
    <w:p w:rsidR="00B8654F" w:rsidRPr="00CE2631" w:rsidRDefault="00B8654F" w:rsidP="00B8654F">
      <w:pPr>
        <w:pStyle w:val="ListParagraph"/>
        <w:numPr>
          <w:ilvl w:val="0"/>
          <w:numId w:val="1"/>
        </w:numPr>
        <w:jc w:val="both"/>
      </w:pPr>
      <w:r w:rsidRPr="00CE2631">
        <w:t>European communication in times of crisis;</w:t>
      </w:r>
    </w:p>
    <w:p w:rsidR="00B8654F" w:rsidRPr="00CE2631" w:rsidRDefault="00B8654F" w:rsidP="00524BA3">
      <w:pPr>
        <w:pStyle w:val="ListParagraph"/>
        <w:numPr>
          <w:ilvl w:val="0"/>
          <w:numId w:val="1"/>
        </w:numPr>
        <w:jc w:val="both"/>
      </w:pPr>
      <w:r w:rsidRPr="00CE2631">
        <w:t>attitudes towards the European Union;</w:t>
      </w:r>
    </w:p>
    <w:p w:rsidR="0075612D" w:rsidRPr="00CE2631" w:rsidRDefault="0075612D" w:rsidP="00524BA3">
      <w:pPr>
        <w:pStyle w:val="ListParagraph"/>
        <w:numPr>
          <w:ilvl w:val="0"/>
          <w:numId w:val="1"/>
        </w:numPr>
        <w:jc w:val="both"/>
      </w:pPr>
      <w:r w:rsidRPr="00CE2631">
        <w:t>Europeanization processes;</w:t>
      </w:r>
    </w:p>
    <w:p w:rsidR="00B8654F" w:rsidRPr="00CE2631" w:rsidRDefault="00B8654F" w:rsidP="00524BA3">
      <w:pPr>
        <w:pStyle w:val="ListParagraph"/>
        <w:numPr>
          <w:ilvl w:val="0"/>
          <w:numId w:val="1"/>
        </w:numPr>
        <w:jc w:val="both"/>
      </w:pPr>
      <w:r w:rsidRPr="00CE2631">
        <w:t>EU Cohesion Policy;</w:t>
      </w:r>
    </w:p>
    <w:p w:rsidR="00B8654F" w:rsidRPr="00CE2631" w:rsidRDefault="00B8654F" w:rsidP="0075612D">
      <w:pPr>
        <w:pStyle w:val="ListParagraph"/>
        <w:numPr>
          <w:ilvl w:val="0"/>
          <w:numId w:val="1"/>
        </w:numPr>
        <w:jc w:val="both"/>
      </w:pPr>
      <w:r w:rsidRPr="00CE2631">
        <w:t xml:space="preserve">management of </w:t>
      </w:r>
      <w:r w:rsidR="0075612D" w:rsidRPr="00CE2631">
        <w:t>EU-funded projects and programs.</w:t>
      </w:r>
    </w:p>
    <w:p w:rsidR="00B8654F" w:rsidRDefault="00B8654F" w:rsidP="0075612D">
      <w:pPr>
        <w:pBdr>
          <w:top w:val="single" w:sz="4" w:space="1" w:color="auto" w:shadow="1"/>
          <w:left w:val="single" w:sz="4" w:space="4" w:color="auto" w:shadow="1"/>
          <w:bottom w:val="single" w:sz="4" w:space="1" w:color="auto" w:shadow="1"/>
          <w:right w:val="single" w:sz="4" w:space="4" w:color="auto" w:shadow="1"/>
        </w:pBdr>
        <w:jc w:val="both"/>
        <w:rPr>
          <w:color w:val="FF0000"/>
        </w:rPr>
      </w:pPr>
      <w:r w:rsidRPr="0075612D">
        <w:rPr>
          <w:color w:val="FF0000"/>
        </w:rPr>
        <w:t xml:space="preserve">The conference will also host a special panel of the ECREA (European Communication and Research Association) </w:t>
      </w:r>
      <w:r w:rsidR="000C5DEE" w:rsidRPr="0075612D">
        <w:rPr>
          <w:color w:val="FF0000"/>
        </w:rPr>
        <w:fldChar w:fldCharType="begin"/>
      </w:r>
      <w:r w:rsidRPr="0075612D">
        <w:rPr>
          <w:color w:val="FF0000"/>
        </w:rPr>
        <w:instrText xml:space="preserve"> HYPERLINK "http://absurd.gen90.net/center-projects/ecrea-twg/" </w:instrText>
      </w:r>
      <w:r w:rsidR="000C5DEE" w:rsidRPr="0075612D">
        <w:rPr>
          <w:color w:val="FF0000"/>
        </w:rPr>
        <w:fldChar w:fldCharType="separate"/>
      </w:r>
      <w:r w:rsidRPr="0075612D">
        <w:rPr>
          <w:rStyle w:val="Hyperlink"/>
        </w:rPr>
        <w:t>Temporary Working Group ”Communication and the European Public Sphere”.</w:t>
      </w:r>
      <w:r w:rsidR="000C5DEE" w:rsidRPr="0075612D">
        <w:rPr>
          <w:color w:val="FF0000"/>
        </w:rPr>
        <w:fldChar w:fldCharType="end"/>
      </w:r>
      <w:r w:rsidR="0075612D" w:rsidRPr="0075612D">
        <w:rPr>
          <w:color w:val="FF0000"/>
        </w:rPr>
        <w:t xml:space="preserve"> Selected papers focusing on EU Communication and the European Public Sphere will be part of this special panel</w:t>
      </w:r>
      <w:r w:rsidR="0075612D">
        <w:rPr>
          <w:color w:val="FF0000"/>
        </w:rPr>
        <w:t xml:space="preserve">. </w:t>
      </w:r>
    </w:p>
    <w:p w:rsidR="0075612D" w:rsidRPr="00B8654F" w:rsidRDefault="0075612D" w:rsidP="00B8654F">
      <w:pPr>
        <w:jc w:val="both"/>
        <w:rPr>
          <w:color w:val="FF0000"/>
        </w:rPr>
      </w:pPr>
    </w:p>
    <w:p w:rsidR="00524BA3" w:rsidRDefault="00524BA3" w:rsidP="00524BA3">
      <w:pPr>
        <w:spacing w:after="0" w:line="240" w:lineRule="auto"/>
        <w:jc w:val="both"/>
        <w:rPr>
          <w:sz w:val="24"/>
          <w:szCs w:val="24"/>
        </w:rPr>
      </w:pPr>
    </w:p>
    <w:p w:rsidR="00524BA3" w:rsidRDefault="00524BA3" w:rsidP="00524BA3">
      <w:pPr>
        <w:autoSpaceDE w:val="0"/>
        <w:spacing w:after="0" w:line="240" w:lineRule="auto"/>
        <w:jc w:val="both"/>
        <w:rPr>
          <w:b/>
          <w:bCs/>
          <w:lang w:val="en-US"/>
        </w:rPr>
      </w:pPr>
      <w:r>
        <w:rPr>
          <w:b/>
          <w:bCs/>
          <w:lang w:val="en-US"/>
        </w:rPr>
        <w:lastRenderedPageBreak/>
        <w:t>Important Deadlines</w:t>
      </w:r>
    </w:p>
    <w:p w:rsidR="00524BA3" w:rsidRDefault="00524BA3" w:rsidP="00524BA3">
      <w:pPr>
        <w:autoSpaceDE w:val="0"/>
        <w:spacing w:after="0" w:line="240" w:lineRule="auto"/>
        <w:jc w:val="both"/>
        <w:rPr>
          <w:lang w:val="en-US"/>
        </w:rPr>
      </w:pPr>
    </w:p>
    <w:p w:rsidR="00524BA3" w:rsidRPr="00A148F4" w:rsidRDefault="00B33DCE" w:rsidP="00524BA3">
      <w:pPr>
        <w:autoSpaceDE w:val="0"/>
        <w:spacing w:after="0" w:line="240" w:lineRule="auto"/>
        <w:jc w:val="both"/>
      </w:pPr>
      <w:r>
        <w:t>April</w:t>
      </w:r>
      <w:r w:rsidR="00524BA3">
        <w:rPr>
          <w:lang w:val="en-US"/>
        </w:rPr>
        <w:t xml:space="preserve"> 1</w:t>
      </w:r>
      <w:r>
        <w:rPr>
          <w:lang w:val="en-US"/>
        </w:rPr>
        <w:t>0, 2015</w:t>
      </w:r>
      <w:r w:rsidR="00524BA3">
        <w:rPr>
          <w:lang w:val="en-US"/>
        </w:rPr>
        <w:t>: abstract submission</w:t>
      </w:r>
    </w:p>
    <w:p w:rsidR="00524BA3" w:rsidRPr="00A148F4" w:rsidRDefault="00B33DCE" w:rsidP="00524BA3">
      <w:pPr>
        <w:autoSpaceDE w:val="0"/>
        <w:spacing w:after="0" w:line="240" w:lineRule="auto"/>
        <w:jc w:val="both"/>
      </w:pPr>
      <w:r>
        <w:t>April 20</w:t>
      </w:r>
      <w:r>
        <w:rPr>
          <w:lang w:val="en-US"/>
        </w:rPr>
        <w:t>, 2015</w:t>
      </w:r>
      <w:r w:rsidR="00524BA3">
        <w:rPr>
          <w:lang w:val="en-US"/>
        </w:rPr>
        <w:t>: abstract acceptance (notification of authors)</w:t>
      </w:r>
    </w:p>
    <w:p w:rsidR="00524BA3" w:rsidRPr="00A148F4" w:rsidRDefault="00B33DCE" w:rsidP="00524BA3">
      <w:pPr>
        <w:autoSpaceDE w:val="0"/>
        <w:spacing w:after="0" w:line="240" w:lineRule="auto"/>
        <w:jc w:val="both"/>
      </w:pPr>
      <w:r>
        <w:rPr>
          <w:lang w:val="en-US"/>
        </w:rPr>
        <w:t>June 30, 2015</w:t>
      </w:r>
      <w:r w:rsidR="00524BA3">
        <w:rPr>
          <w:lang w:val="en-US"/>
        </w:rPr>
        <w:t>: full paper submission</w:t>
      </w:r>
    </w:p>
    <w:p w:rsidR="00CE2631" w:rsidRDefault="00CE2631" w:rsidP="00CE2631">
      <w:pPr>
        <w:autoSpaceDE w:val="0"/>
        <w:spacing w:after="0" w:line="240" w:lineRule="auto"/>
        <w:jc w:val="both"/>
        <w:rPr>
          <w:b/>
          <w:bCs/>
          <w:lang w:val="en-US"/>
        </w:rPr>
      </w:pPr>
    </w:p>
    <w:p w:rsidR="00524BA3" w:rsidRDefault="00524BA3" w:rsidP="00524BA3">
      <w:pPr>
        <w:autoSpaceDE w:val="0"/>
        <w:jc w:val="both"/>
        <w:rPr>
          <w:b/>
          <w:bCs/>
          <w:lang w:val="en-US"/>
        </w:rPr>
      </w:pPr>
      <w:r>
        <w:rPr>
          <w:b/>
          <w:bCs/>
          <w:lang w:val="en-US"/>
        </w:rPr>
        <w:t>Abstracts</w:t>
      </w:r>
    </w:p>
    <w:p w:rsidR="00524BA3" w:rsidRPr="00027E69" w:rsidRDefault="00524BA3" w:rsidP="00524BA3">
      <w:pPr>
        <w:autoSpaceDE w:val="0"/>
        <w:spacing w:line="240" w:lineRule="auto"/>
        <w:jc w:val="both"/>
        <w:rPr>
          <w:lang w:val="en-US"/>
        </w:rPr>
      </w:pPr>
      <w:r w:rsidRPr="00524BA3">
        <w:rPr>
          <w:lang w:val="en-US"/>
        </w:rPr>
        <w:t xml:space="preserve">The abstracts (max. 500 words followed by 3-5 keywords) will be submitted for review in electronic MS Word format. Please provide the full names, affiliations, mailing addresses, telephone and fax numbers, and e-mail addresses of all authors, indicating the contact author. There will be accepted only one paper for each participant as a first author. Abstracts will be submitted online to the following e-mail address: </w:t>
      </w:r>
      <w:hyperlink r:id="rId7" w:history="1">
        <w:r w:rsidR="00027E69" w:rsidRPr="001C32E1">
          <w:rPr>
            <w:rStyle w:val="Hyperlink"/>
            <w:lang w:val="en-US"/>
          </w:rPr>
          <w:t>euroantreprenorat@comunicare.ro</w:t>
        </w:r>
      </w:hyperlink>
      <w:r w:rsidR="00027E69">
        <w:rPr>
          <w:lang w:val="en-US"/>
        </w:rPr>
        <w:t>. The official language</w:t>
      </w:r>
      <w:r w:rsidRPr="00524BA3">
        <w:rPr>
          <w:lang w:val="en-US"/>
        </w:rPr>
        <w:t xml:space="preserve"> of the conference </w:t>
      </w:r>
      <w:r w:rsidR="00027E69">
        <w:rPr>
          <w:lang w:val="en-US"/>
        </w:rPr>
        <w:t>is English.</w:t>
      </w:r>
    </w:p>
    <w:p w:rsidR="00524BA3" w:rsidRDefault="00524BA3" w:rsidP="00524BA3">
      <w:pPr>
        <w:autoSpaceDE w:val="0"/>
        <w:spacing w:line="240" w:lineRule="auto"/>
        <w:jc w:val="both"/>
        <w:rPr>
          <w:lang w:val="en-US"/>
        </w:rPr>
      </w:pPr>
      <w:r>
        <w:rPr>
          <w:lang w:val="en-US"/>
        </w:rPr>
        <w:t>The authors will receive confirmation via e-mail.</w:t>
      </w:r>
    </w:p>
    <w:p w:rsidR="00CE2631" w:rsidRPr="00CE2631" w:rsidRDefault="00CE2631" w:rsidP="00524BA3">
      <w:pPr>
        <w:autoSpaceDE w:val="0"/>
        <w:spacing w:line="240" w:lineRule="auto"/>
        <w:jc w:val="both"/>
        <w:rPr>
          <w:b/>
          <w:lang w:val="en-US"/>
        </w:rPr>
      </w:pPr>
      <w:r>
        <w:rPr>
          <w:b/>
          <w:lang w:val="en-US"/>
        </w:rPr>
        <w:t>Publication</w:t>
      </w:r>
    </w:p>
    <w:p w:rsidR="00524BA3" w:rsidRDefault="00524BA3" w:rsidP="00524BA3">
      <w:pPr>
        <w:autoSpaceDE w:val="0"/>
        <w:spacing w:line="240" w:lineRule="auto"/>
        <w:jc w:val="both"/>
        <w:rPr>
          <w:lang w:val="en-US"/>
        </w:rPr>
      </w:pPr>
      <w:r>
        <w:rPr>
          <w:lang w:val="en-US"/>
        </w:rPr>
        <w:t>Selected papers will be published, after the conference, in the conference volume</w:t>
      </w:r>
      <w:r w:rsidR="00027E69">
        <w:rPr>
          <w:lang w:val="en-US"/>
        </w:rPr>
        <w:t xml:space="preserve">. </w:t>
      </w:r>
    </w:p>
    <w:p w:rsidR="00524BA3" w:rsidRDefault="00524BA3" w:rsidP="00524BA3">
      <w:pPr>
        <w:autoSpaceDE w:val="0"/>
        <w:jc w:val="both"/>
        <w:rPr>
          <w:b/>
          <w:bCs/>
          <w:lang w:val="en-US"/>
        </w:rPr>
      </w:pPr>
      <w:r>
        <w:rPr>
          <w:b/>
          <w:bCs/>
          <w:lang w:val="en-US"/>
        </w:rPr>
        <w:t>Guidelines</w:t>
      </w:r>
    </w:p>
    <w:p w:rsidR="00524BA3" w:rsidRDefault="00524BA3" w:rsidP="00524BA3">
      <w:pPr>
        <w:autoSpaceDE w:val="0"/>
        <w:spacing w:line="240" w:lineRule="auto"/>
        <w:jc w:val="both"/>
        <w:rPr>
          <w:lang w:val="en-US"/>
        </w:rPr>
      </w:pPr>
      <w:r>
        <w:rPr>
          <w:lang w:val="en-US"/>
        </w:rPr>
        <w:t>All manuscripts submitted must follow the most recent version of the APA style guide (6</w:t>
      </w:r>
      <w:r>
        <w:rPr>
          <w:vertAlign w:val="superscript"/>
          <w:lang w:val="en-US"/>
        </w:rPr>
        <w:t>th</w:t>
      </w:r>
      <w:r>
        <w:rPr>
          <w:lang w:val="en-US"/>
        </w:rPr>
        <w:t xml:space="preserve"> American Psychological Association Publication Manual).</w:t>
      </w:r>
    </w:p>
    <w:p w:rsidR="00524BA3" w:rsidRDefault="00524BA3" w:rsidP="00524BA3">
      <w:pPr>
        <w:autoSpaceDE w:val="0"/>
        <w:spacing w:after="0" w:line="240" w:lineRule="auto"/>
        <w:jc w:val="both"/>
        <w:rPr>
          <w:b/>
          <w:bCs/>
          <w:lang w:val="en-US"/>
        </w:rPr>
      </w:pPr>
      <w:r>
        <w:rPr>
          <w:b/>
          <w:bCs/>
          <w:lang w:val="en-US"/>
        </w:rPr>
        <w:t>Conference fee</w:t>
      </w:r>
    </w:p>
    <w:p w:rsidR="00524BA3" w:rsidRDefault="00524BA3" w:rsidP="00524BA3">
      <w:pPr>
        <w:autoSpaceDE w:val="0"/>
        <w:spacing w:after="0" w:line="240" w:lineRule="auto"/>
        <w:jc w:val="both"/>
        <w:rPr>
          <w:lang w:val="en-US"/>
        </w:rPr>
      </w:pPr>
    </w:p>
    <w:p w:rsidR="00712966" w:rsidRDefault="00027E69" w:rsidP="00524BA3">
      <w:pPr>
        <w:autoSpaceDE w:val="0"/>
        <w:spacing w:after="0" w:line="240" w:lineRule="auto"/>
        <w:jc w:val="both"/>
        <w:rPr>
          <w:lang w:val="en-US"/>
        </w:rPr>
      </w:pPr>
      <w:r>
        <w:rPr>
          <w:lang w:val="en-US"/>
        </w:rPr>
        <w:t xml:space="preserve">There is no conference fee. </w:t>
      </w:r>
      <w:r w:rsidR="00712966">
        <w:rPr>
          <w:lang w:val="en-US"/>
        </w:rPr>
        <w:t>The Conference is financially supported by the EU-funded project “</w:t>
      </w:r>
      <w:proofErr w:type="spellStart"/>
      <w:r w:rsidR="00712966">
        <w:rPr>
          <w:lang w:val="en-US"/>
        </w:rPr>
        <w:t>Euroantrepreneurship</w:t>
      </w:r>
      <w:proofErr w:type="spellEnd"/>
      <w:r w:rsidR="00712966">
        <w:rPr>
          <w:lang w:val="en-US"/>
        </w:rPr>
        <w:t xml:space="preserve"> – academic qualifications for the Europeanization of the Romanian society”, </w:t>
      </w:r>
      <w:r w:rsidR="00712966" w:rsidRPr="00712966">
        <w:rPr>
          <w:lang w:val="en-US"/>
        </w:rPr>
        <w:t xml:space="preserve">(POSDRU/156/1.2/G/140578), </w:t>
      </w:r>
      <w:r w:rsidR="00712966">
        <w:rPr>
          <w:lang w:val="en-US"/>
        </w:rPr>
        <w:t>co-funded by the European Social Fund, SOP Human Resources Development 2007-2013</w:t>
      </w:r>
    </w:p>
    <w:p w:rsidR="00524BA3" w:rsidRPr="00712966" w:rsidRDefault="00524BA3" w:rsidP="00524BA3">
      <w:pPr>
        <w:autoSpaceDE w:val="0"/>
        <w:spacing w:after="0" w:line="240" w:lineRule="auto"/>
        <w:jc w:val="both"/>
        <w:rPr>
          <w:lang w:val="en-US"/>
        </w:rPr>
      </w:pPr>
    </w:p>
    <w:p w:rsidR="00524BA3" w:rsidRDefault="00524BA3" w:rsidP="00524BA3">
      <w:pPr>
        <w:autoSpaceDE w:val="0"/>
        <w:jc w:val="both"/>
        <w:rPr>
          <w:b/>
          <w:bCs/>
          <w:lang w:val="en-US"/>
        </w:rPr>
      </w:pPr>
      <w:r>
        <w:rPr>
          <w:b/>
          <w:bCs/>
          <w:lang w:val="en-US"/>
        </w:rPr>
        <w:t>Organizing Committee</w:t>
      </w:r>
    </w:p>
    <w:p w:rsidR="00027E69" w:rsidRDefault="00027E69" w:rsidP="00027E69">
      <w:pPr>
        <w:pStyle w:val="Header"/>
        <w:jc w:val="both"/>
      </w:pPr>
      <w:r w:rsidRPr="00027E69">
        <w:t>Anthony Antoine (Institute for European Studies</w:t>
      </w:r>
      <w:r>
        <w:t>, Vrije Universiteit Brussels)</w:t>
      </w:r>
    </w:p>
    <w:p w:rsidR="00027E69" w:rsidRDefault="00027E69" w:rsidP="00027E69">
      <w:pPr>
        <w:pStyle w:val="Header"/>
        <w:jc w:val="both"/>
      </w:pPr>
      <w:r w:rsidRPr="00027E69">
        <w:t xml:space="preserve">Silviu Piroș (Institute for European Studies, Vrije Universiteit Brussels) </w:t>
      </w:r>
    </w:p>
    <w:p w:rsidR="00027E69" w:rsidRPr="00027E69" w:rsidRDefault="00027E69" w:rsidP="00027E69">
      <w:pPr>
        <w:pStyle w:val="Header"/>
        <w:jc w:val="both"/>
      </w:pPr>
      <w:r w:rsidRPr="00027E69">
        <w:t>Alexandra Mihai (Institute for European Studies</w:t>
      </w:r>
      <w:r>
        <w:t>, Vrije Universiteit Brussels)</w:t>
      </w:r>
    </w:p>
    <w:p w:rsidR="00524BA3" w:rsidRPr="00CE2631" w:rsidRDefault="00027E69" w:rsidP="00027E69">
      <w:pPr>
        <w:autoSpaceDE w:val="0"/>
        <w:spacing w:after="0" w:line="240" w:lineRule="auto"/>
        <w:jc w:val="both"/>
      </w:pPr>
      <w:r>
        <w:t xml:space="preserve">Nicoleta Corbu </w:t>
      </w:r>
      <w:r w:rsidRPr="00CE2631">
        <w:t>(National University of Political Studies and Public Administration)</w:t>
      </w:r>
    </w:p>
    <w:p w:rsidR="00524BA3" w:rsidRDefault="00524BA3" w:rsidP="00027E69">
      <w:pPr>
        <w:autoSpaceDE w:val="0"/>
        <w:spacing w:after="0" w:line="240" w:lineRule="auto"/>
        <w:jc w:val="both"/>
        <w:rPr>
          <w:lang w:val="en-US"/>
        </w:rPr>
      </w:pPr>
      <w:r>
        <w:rPr>
          <w:lang w:val="en-US"/>
        </w:rPr>
        <w:t xml:space="preserve">Elena </w:t>
      </w:r>
      <w:proofErr w:type="spellStart"/>
      <w:r>
        <w:rPr>
          <w:lang w:val="en-US"/>
        </w:rPr>
        <w:t>Negrea-Busuioc</w:t>
      </w:r>
      <w:proofErr w:type="spellEnd"/>
      <w:r>
        <w:rPr>
          <w:lang w:val="en-US"/>
        </w:rPr>
        <w:t xml:space="preserve"> (National University of Political Studies and Public Administration)</w:t>
      </w:r>
    </w:p>
    <w:p w:rsidR="008A1665" w:rsidRDefault="008A1665" w:rsidP="008A1665">
      <w:pPr>
        <w:autoSpaceDE w:val="0"/>
        <w:spacing w:after="0" w:line="240" w:lineRule="auto"/>
        <w:jc w:val="both"/>
        <w:rPr>
          <w:lang w:val="en-US"/>
        </w:rPr>
      </w:pPr>
      <w:proofErr w:type="spellStart"/>
      <w:r>
        <w:rPr>
          <w:lang w:val="en-US"/>
        </w:rPr>
        <w:t>Loredana</w:t>
      </w:r>
      <w:proofErr w:type="spellEnd"/>
      <w:r>
        <w:rPr>
          <w:lang w:val="en-US"/>
        </w:rPr>
        <w:t xml:space="preserve"> </w:t>
      </w:r>
      <w:proofErr w:type="spellStart"/>
      <w:r>
        <w:rPr>
          <w:lang w:val="en-US"/>
        </w:rPr>
        <w:t>Radu</w:t>
      </w:r>
      <w:proofErr w:type="spellEnd"/>
      <w:r>
        <w:rPr>
          <w:lang w:val="en-US"/>
        </w:rPr>
        <w:t xml:space="preserve"> (National University of Political Studies and Public Administration)</w:t>
      </w:r>
    </w:p>
    <w:p w:rsidR="00CE2631" w:rsidRDefault="00CE2631" w:rsidP="00CE2631">
      <w:pPr>
        <w:autoSpaceDE w:val="0"/>
        <w:spacing w:after="0"/>
        <w:jc w:val="both"/>
        <w:rPr>
          <w:b/>
          <w:bCs/>
          <w:lang w:val="en-US"/>
        </w:rPr>
      </w:pPr>
    </w:p>
    <w:p w:rsidR="00524BA3" w:rsidRDefault="00524BA3" w:rsidP="00524BA3">
      <w:pPr>
        <w:autoSpaceDE w:val="0"/>
        <w:jc w:val="both"/>
        <w:rPr>
          <w:b/>
          <w:bCs/>
          <w:lang w:val="en-US"/>
        </w:rPr>
      </w:pPr>
      <w:r>
        <w:rPr>
          <w:b/>
          <w:bCs/>
          <w:lang w:val="en-US"/>
        </w:rPr>
        <w:t>Contact</w:t>
      </w:r>
    </w:p>
    <w:p w:rsidR="00524BA3" w:rsidRDefault="0034179A" w:rsidP="00CE2631">
      <w:pPr>
        <w:ind w:right="-288"/>
        <w:jc w:val="both"/>
        <w:rPr>
          <w:sz w:val="24"/>
          <w:szCs w:val="24"/>
        </w:rPr>
      </w:pPr>
      <w:r>
        <w:rPr>
          <w:lang w:val="en-US"/>
        </w:rPr>
        <w:t xml:space="preserve">Elena </w:t>
      </w:r>
      <w:proofErr w:type="spellStart"/>
      <w:r>
        <w:rPr>
          <w:lang w:val="en-US"/>
        </w:rPr>
        <w:t>Negrea-Busuioc</w:t>
      </w:r>
      <w:proofErr w:type="spellEnd"/>
      <w:proofErr w:type="gramStart"/>
      <w:r>
        <w:rPr>
          <w:lang w:val="en-US"/>
        </w:rPr>
        <w:t xml:space="preserve">, </w:t>
      </w:r>
      <w:r w:rsidR="00524BA3">
        <w:rPr>
          <w:lang w:val="en-US"/>
        </w:rPr>
        <w:t xml:space="preserve"> </w:t>
      </w:r>
      <w:proofErr w:type="gramEnd"/>
      <w:hyperlink r:id="rId8" w:history="1">
        <w:r w:rsidRPr="001C32E1">
          <w:rPr>
            <w:rStyle w:val="Hyperlink"/>
          </w:rPr>
          <w:t>elena.negrea@comunicare.ro</w:t>
        </w:r>
      </w:hyperlink>
      <w:r w:rsidR="00524BA3">
        <w:t xml:space="preserve"> </w:t>
      </w:r>
    </w:p>
    <w:sectPr w:rsidR="00524BA3" w:rsidSect="009C5ACD">
      <w:headerReference w:type="default" r:id="rId9"/>
      <w:footerReference w:type="default" r:id="rId10"/>
      <w:pgSz w:w="11906" w:h="16838"/>
      <w:pgMar w:top="1440" w:right="720" w:bottom="1440" w:left="1440" w:header="274"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92E" w:rsidRDefault="00BC492E" w:rsidP="009C5ACD">
      <w:pPr>
        <w:spacing w:after="0" w:line="240" w:lineRule="auto"/>
      </w:pPr>
      <w:r>
        <w:separator/>
      </w:r>
    </w:p>
  </w:endnote>
  <w:endnote w:type="continuationSeparator" w:id="0">
    <w:p w:rsidR="00BC492E" w:rsidRDefault="00BC492E" w:rsidP="009C5A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ACD" w:rsidRDefault="009C5ACD" w:rsidP="009C5ACD">
    <w:pPr>
      <w:pStyle w:val="Footer"/>
      <w:jc w:val="center"/>
    </w:pPr>
    <w:r>
      <w:rPr>
        <w:noProof/>
        <w:lang w:val="en-US"/>
      </w:rPr>
      <w:drawing>
        <wp:inline distT="0" distB="0" distL="0" distR="0">
          <wp:extent cx="6188710" cy="697865"/>
          <wp:effectExtent l="0" t="0" r="254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88710" cy="69786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92E" w:rsidRDefault="00BC492E" w:rsidP="009C5ACD">
      <w:pPr>
        <w:spacing w:after="0" w:line="240" w:lineRule="auto"/>
      </w:pPr>
      <w:r>
        <w:separator/>
      </w:r>
    </w:p>
  </w:footnote>
  <w:footnote w:type="continuationSeparator" w:id="0">
    <w:p w:rsidR="00BC492E" w:rsidRDefault="00BC492E" w:rsidP="009C5A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ACD" w:rsidRDefault="009C5ACD">
    <w:pPr>
      <w:pStyle w:val="Header"/>
      <w:rPr>
        <w:lang w:val="en-US"/>
      </w:rPr>
    </w:pPr>
    <w:r>
      <w:rPr>
        <w:noProof/>
        <w:lang w:val="en-US"/>
      </w:rPr>
      <w:drawing>
        <wp:inline distT="0" distB="0" distL="0" distR="0">
          <wp:extent cx="6188710" cy="643255"/>
          <wp:effectExtent l="0" t="0" r="254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88710" cy="643255"/>
                  </a:xfrm>
                  <a:prstGeom prst="rect">
                    <a:avLst/>
                  </a:prstGeom>
                </pic:spPr>
              </pic:pic>
            </a:graphicData>
          </a:graphic>
        </wp:inline>
      </w:drawing>
    </w:r>
  </w:p>
  <w:p w:rsidR="00E756F4" w:rsidRPr="006242C3" w:rsidRDefault="00E756F4" w:rsidP="00E756F4">
    <w:pPr>
      <w:pStyle w:val="CommentSubject"/>
      <w:outlineLvl w:val="0"/>
      <w:rPr>
        <w:lang w:val="it-IT"/>
      </w:rPr>
    </w:pPr>
    <w:r w:rsidRPr="006242C3">
      <w:rPr>
        <w:lang w:val="it-IT"/>
      </w:rPr>
      <w:t>Investeşte în oameni !</w:t>
    </w:r>
  </w:p>
  <w:p w:rsidR="00E756F4" w:rsidRPr="006242C3" w:rsidRDefault="00E756F4" w:rsidP="00E756F4">
    <w:pPr>
      <w:spacing w:after="0" w:line="240" w:lineRule="auto"/>
      <w:outlineLvl w:val="0"/>
      <w:rPr>
        <w:sz w:val="20"/>
        <w:szCs w:val="20"/>
        <w:lang w:val="it-IT"/>
      </w:rPr>
    </w:pPr>
    <w:r w:rsidRPr="006242C3">
      <w:rPr>
        <w:sz w:val="20"/>
        <w:szCs w:val="20"/>
        <w:lang w:val="it-IT"/>
      </w:rPr>
      <w:t>FONDUL SOCIAL EUROPEAN</w:t>
    </w:r>
  </w:p>
  <w:p w:rsidR="00E756F4" w:rsidRPr="006242C3" w:rsidRDefault="00E756F4" w:rsidP="00E756F4">
    <w:pPr>
      <w:spacing w:after="0" w:line="240" w:lineRule="auto"/>
      <w:outlineLvl w:val="0"/>
      <w:rPr>
        <w:sz w:val="20"/>
        <w:szCs w:val="20"/>
        <w:lang w:val="it-IT"/>
      </w:rPr>
    </w:pPr>
    <w:r w:rsidRPr="006242C3">
      <w:rPr>
        <w:sz w:val="20"/>
        <w:szCs w:val="20"/>
        <w:lang w:val="it-IT"/>
      </w:rPr>
      <w:t xml:space="preserve">Programul Operaţional Sectorial Dezvoltarea Resurselor Umane 2007 – 2013 </w:t>
    </w:r>
  </w:p>
  <w:p w:rsidR="00E756F4" w:rsidRPr="006242C3" w:rsidRDefault="00E756F4" w:rsidP="00E756F4">
    <w:pPr>
      <w:spacing w:after="0" w:line="240" w:lineRule="auto"/>
      <w:rPr>
        <w:sz w:val="20"/>
        <w:szCs w:val="20"/>
        <w:lang w:val="it-IT"/>
      </w:rPr>
    </w:pPr>
    <w:r w:rsidRPr="006242C3">
      <w:rPr>
        <w:sz w:val="20"/>
        <w:szCs w:val="20"/>
        <w:lang w:val="it-IT"/>
      </w:rPr>
      <w:t xml:space="preserve">Axa prioritară 1 </w:t>
    </w:r>
    <w:r w:rsidRPr="006242C3">
      <w:rPr>
        <w:b/>
        <w:bCs/>
        <w:sz w:val="20"/>
        <w:szCs w:val="20"/>
        <w:lang w:val="it-IT"/>
      </w:rPr>
      <w:t>“Educaţia şi formarea profesională în sprijinul creşterii şi dezvoltării societăţii bazate pe cunoaştere”</w:t>
    </w:r>
  </w:p>
  <w:p w:rsidR="00E756F4" w:rsidRPr="006242C3" w:rsidRDefault="00E756F4" w:rsidP="00E756F4">
    <w:pPr>
      <w:spacing w:after="0" w:line="240" w:lineRule="auto"/>
      <w:outlineLvl w:val="0"/>
      <w:rPr>
        <w:sz w:val="20"/>
        <w:szCs w:val="20"/>
        <w:lang w:val="it-IT"/>
      </w:rPr>
    </w:pPr>
    <w:r w:rsidRPr="006242C3">
      <w:rPr>
        <w:sz w:val="20"/>
        <w:szCs w:val="20"/>
        <w:lang w:val="it-IT"/>
      </w:rPr>
      <w:t xml:space="preserve">Domeniul major de intervenţie 1.2. </w:t>
    </w:r>
    <w:r w:rsidRPr="006242C3">
      <w:rPr>
        <w:b/>
        <w:bCs/>
        <w:sz w:val="20"/>
        <w:szCs w:val="20"/>
        <w:lang w:val="it-IT"/>
      </w:rPr>
      <w:t>“Calitate în învăţăm</w:t>
    </w:r>
    <w:r w:rsidRPr="006242C3">
      <w:rPr>
        <w:b/>
        <w:bCs/>
        <w:sz w:val="20"/>
        <w:szCs w:val="20"/>
      </w:rPr>
      <w:t>â</w:t>
    </w:r>
    <w:r w:rsidRPr="006242C3">
      <w:rPr>
        <w:b/>
        <w:bCs/>
        <w:sz w:val="20"/>
        <w:szCs w:val="20"/>
        <w:lang w:val="it-IT"/>
      </w:rPr>
      <w:t>ntul superior”</w:t>
    </w:r>
  </w:p>
  <w:p w:rsidR="00E756F4" w:rsidRPr="006242C3" w:rsidRDefault="00E756F4" w:rsidP="00E756F4">
    <w:pPr>
      <w:spacing w:after="0" w:line="240" w:lineRule="auto"/>
      <w:rPr>
        <w:b/>
        <w:bCs/>
        <w:sz w:val="20"/>
        <w:szCs w:val="20"/>
        <w:lang w:val="it-IT"/>
      </w:rPr>
    </w:pPr>
    <w:r w:rsidRPr="006242C3">
      <w:rPr>
        <w:sz w:val="20"/>
        <w:szCs w:val="20"/>
        <w:lang w:val="it-IT"/>
      </w:rPr>
      <w:t xml:space="preserve">Titlul proiectului: </w:t>
    </w:r>
    <w:r w:rsidRPr="006242C3">
      <w:rPr>
        <w:bCs/>
        <w:sz w:val="20"/>
        <w:szCs w:val="20"/>
        <w:lang w:val="it-IT"/>
      </w:rPr>
      <w:t>“</w:t>
    </w:r>
    <w:r w:rsidRPr="006242C3">
      <w:rPr>
        <w:b/>
        <w:sz w:val="20"/>
        <w:szCs w:val="20"/>
        <w:lang w:eastAsia="ro-RO"/>
      </w:rPr>
      <w:t>EUROANTREPRENORIAT - calificări universitare pentru europenizarea societăţii rom</w:t>
    </w:r>
    <w:r w:rsidRPr="006242C3">
      <w:rPr>
        <w:b/>
        <w:bCs/>
        <w:sz w:val="20"/>
        <w:szCs w:val="20"/>
      </w:rPr>
      <w:t>â</w:t>
    </w:r>
    <w:r w:rsidRPr="006242C3">
      <w:rPr>
        <w:b/>
        <w:sz w:val="20"/>
        <w:szCs w:val="20"/>
        <w:lang w:eastAsia="ro-RO"/>
      </w:rPr>
      <w:t>neşti</w:t>
    </w:r>
    <w:r w:rsidRPr="006242C3">
      <w:rPr>
        <w:b/>
        <w:bCs/>
        <w:sz w:val="20"/>
        <w:szCs w:val="20"/>
        <w:lang w:val="it-IT"/>
      </w:rPr>
      <w:t>”</w:t>
    </w:r>
  </w:p>
  <w:p w:rsidR="00E756F4" w:rsidRPr="006242C3" w:rsidRDefault="00E756F4" w:rsidP="00E756F4">
    <w:pPr>
      <w:spacing w:after="0" w:line="240" w:lineRule="auto"/>
      <w:outlineLvl w:val="0"/>
      <w:rPr>
        <w:b/>
        <w:bCs/>
        <w:sz w:val="20"/>
        <w:szCs w:val="20"/>
        <w:lang w:val="it-IT"/>
      </w:rPr>
    </w:pPr>
    <w:r w:rsidRPr="006242C3">
      <w:rPr>
        <w:sz w:val="20"/>
        <w:szCs w:val="20"/>
        <w:lang w:val="it-IT"/>
      </w:rPr>
      <w:t xml:space="preserve">Contract nr. </w:t>
    </w:r>
    <w:r w:rsidRPr="006242C3">
      <w:rPr>
        <w:b/>
        <w:bCs/>
        <w:sz w:val="20"/>
        <w:szCs w:val="20"/>
        <w:lang w:val="it-IT"/>
      </w:rPr>
      <w:t>POSDRU/156/1.2/G/140578</w:t>
    </w:r>
  </w:p>
  <w:p w:rsidR="009C5ACD" w:rsidRPr="009C5ACD" w:rsidRDefault="009C5ACD">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2466BA"/>
    <w:multiLevelType w:val="hybridMultilevel"/>
    <w:tmpl w:val="5A04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9C5ACD"/>
    <w:rsid w:val="00027E69"/>
    <w:rsid w:val="000434A1"/>
    <w:rsid w:val="000C5DEE"/>
    <w:rsid w:val="000D3F01"/>
    <w:rsid w:val="00111250"/>
    <w:rsid w:val="00114F10"/>
    <w:rsid w:val="0015319F"/>
    <w:rsid w:val="001763BE"/>
    <w:rsid w:val="00184C23"/>
    <w:rsid w:val="001A7574"/>
    <w:rsid w:val="001A7704"/>
    <w:rsid w:val="001F1342"/>
    <w:rsid w:val="00223132"/>
    <w:rsid w:val="0026437B"/>
    <w:rsid w:val="00272563"/>
    <w:rsid w:val="002852CB"/>
    <w:rsid w:val="002862E5"/>
    <w:rsid w:val="002B6BB4"/>
    <w:rsid w:val="002C3490"/>
    <w:rsid w:val="002D0525"/>
    <w:rsid w:val="002F4FEA"/>
    <w:rsid w:val="00337295"/>
    <w:rsid w:val="0034179A"/>
    <w:rsid w:val="00347598"/>
    <w:rsid w:val="00362B6C"/>
    <w:rsid w:val="003763B2"/>
    <w:rsid w:val="00384343"/>
    <w:rsid w:val="00396A12"/>
    <w:rsid w:val="003A0C93"/>
    <w:rsid w:val="003A2B9D"/>
    <w:rsid w:val="003B2C67"/>
    <w:rsid w:val="003D5D8C"/>
    <w:rsid w:val="003D78CE"/>
    <w:rsid w:val="00402F76"/>
    <w:rsid w:val="00411D17"/>
    <w:rsid w:val="004140B2"/>
    <w:rsid w:val="0042062C"/>
    <w:rsid w:val="00460EC9"/>
    <w:rsid w:val="004815C0"/>
    <w:rsid w:val="004874C4"/>
    <w:rsid w:val="004C0CD1"/>
    <w:rsid w:val="004E306B"/>
    <w:rsid w:val="004F116D"/>
    <w:rsid w:val="00522471"/>
    <w:rsid w:val="00524BA3"/>
    <w:rsid w:val="005251E1"/>
    <w:rsid w:val="00533527"/>
    <w:rsid w:val="00547515"/>
    <w:rsid w:val="005616B6"/>
    <w:rsid w:val="00564608"/>
    <w:rsid w:val="00572E1B"/>
    <w:rsid w:val="005841FE"/>
    <w:rsid w:val="005A18A2"/>
    <w:rsid w:val="005A1CAB"/>
    <w:rsid w:val="005A66B9"/>
    <w:rsid w:val="005D0395"/>
    <w:rsid w:val="005E0898"/>
    <w:rsid w:val="005E318F"/>
    <w:rsid w:val="005E412A"/>
    <w:rsid w:val="005E6482"/>
    <w:rsid w:val="005F5BC1"/>
    <w:rsid w:val="00601074"/>
    <w:rsid w:val="00610AAE"/>
    <w:rsid w:val="00615C31"/>
    <w:rsid w:val="00617216"/>
    <w:rsid w:val="006207B0"/>
    <w:rsid w:val="00652FDB"/>
    <w:rsid w:val="006A2766"/>
    <w:rsid w:val="006A5530"/>
    <w:rsid w:val="006C1F7A"/>
    <w:rsid w:val="006C6AD1"/>
    <w:rsid w:val="006E07EB"/>
    <w:rsid w:val="007001DF"/>
    <w:rsid w:val="00712966"/>
    <w:rsid w:val="00721230"/>
    <w:rsid w:val="007224BD"/>
    <w:rsid w:val="0074346F"/>
    <w:rsid w:val="00744A99"/>
    <w:rsid w:val="00746A15"/>
    <w:rsid w:val="007548C2"/>
    <w:rsid w:val="0075612D"/>
    <w:rsid w:val="00762D91"/>
    <w:rsid w:val="00766228"/>
    <w:rsid w:val="00805C78"/>
    <w:rsid w:val="00843632"/>
    <w:rsid w:val="00860C9E"/>
    <w:rsid w:val="008A1665"/>
    <w:rsid w:val="008F1751"/>
    <w:rsid w:val="009323FC"/>
    <w:rsid w:val="009532DB"/>
    <w:rsid w:val="009B615F"/>
    <w:rsid w:val="009B65C7"/>
    <w:rsid w:val="009C5ACD"/>
    <w:rsid w:val="009E3DBD"/>
    <w:rsid w:val="009F167E"/>
    <w:rsid w:val="009F56A8"/>
    <w:rsid w:val="00A36B9E"/>
    <w:rsid w:val="00A54EBB"/>
    <w:rsid w:val="00AD15CE"/>
    <w:rsid w:val="00AE27F7"/>
    <w:rsid w:val="00B062AD"/>
    <w:rsid w:val="00B24580"/>
    <w:rsid w:val="00B33DCE"/>
    <w:rsid w:val="00B5528F"/>
    <w:rsid w:val="00B8654F"/>
    <w:rsid w:val="00BB2087"/>
    <w:rsid w:val="00BC1ECD"/>
    <w:rsid w:val="00BC492E"/>
    <w:rsid w:val="00C016F9"/>
    <w:rsid w:val="00C31FEC"/>
    <w:rsid w:val="00C37434"/>
    <w:rsid w:val="00C61F2B"/>
    <w:rsid w:val="00C81C19"/>
    <w:rsid w:val="00C93971"/>
    <w:rsid w:val="00C943EE"/>
    <w:rsid w:val="00CB33E6"/>
    <w:rsid w:val="00CE01B4"/>
    <w:rsid w:val="00CE2631"/>
    <w:rsid w:val="00CE70E5"/>
    <w:rsid w:val="00D00CD1"/>
    <w:rsid w:val="00D44634"/>
    <w:rsid w:val="00D57BD2"/>
    <w:rsid w:val="00D84C82"/>
    <w:rsid w:val="00D904A5"/>
    <w:rsid w:val="00DA0C7C"/>
    <w:rsid w:val="00E14F1B"/>
    <w:rsid w:val="00E756F4"/>
    <w:rsid w:val="00E97B85"/>
    <w:rsid w:val="00ED5A11"/>
    <w:rsid w:val="00F04A5E"/>
    <w:rsid w:val="00F11DC4"/>
    <w:rsid w:val="00F1733B"/>
    <w:rsid w:val="00F31E58"/>
    <w:rsid w:val="00F400DA"/>
    <w:rsid w:val="00F468F0"/>
    <w:rsid w:val="00F51EAE"/>
    <w:rsid w:val="00F52ADC"/>
    <w:rsid w:val="00F63DEB"/>
    <w:rsid w:val="00F704D2"/>
    <w:rsid w:val="00F9392D"/>
    <w:rsid w:val="00FA6A5B"/>
    <w:rsid w:val="00FB055C"/>
    <w:rsid w:val="00FE7E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460E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ACD"/>
  </w:style>
  <w:style w:type="paragraph" w:styleId="Footer">
    <w:name w:val="footer"/>
    <w:basedOn w:val="Normal"/>
    <w:link w:val="FooterChar"/>
    <w:uiPriority w:val="99"/>
    <w:unhideWhenUsed/>
    <w:rsid w:val="009C5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ACD"/>
  </w:style>
  <w:style w:type="paragraph" w:styleId="BalloonText">
    <w:name w:val="Balloon Text"/>
    <w:basedOn w:val="Normal"/>
    <w:link w:val="BalloonTextChar"/>
    <w:uiPriority w:val="99"/>
    <w:semiHidden/>
    <w:unhideWhenUsed/>
    <w:rsid w:val="009C5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ACD"/>
    <w:rPr>
      <w:rFonts w:ascii="Tahoma" w:hAnsi="Tahoma" w:cs="Tahoma"/>
      <w:sz w:val="16"/>
      <w:szCs w:val="16"/>
    </w:rPr>
  </w:style>
  <w:style w:type="character" w:styleId="Hyperlink">
    <w:name w:val="Hyperlink"/>
    <w:basedOn w:val="DefaultParagraphFont"/>
    <w:uiPriority w:val="99"/>
    <w:unhideWhenUsed/>
    <w:rsid w:val="00ED5A11"/>
    <w:rPr>
      <w:color w:val="0000FF" w:themeColor="hyperlink"/>
      <w:u w:val="single"/>
    </w:rPr>
  </w:style>
  <w:style w:type="paragraph" w:styleId="CommentText">
    <w:name w:val="annotation text"/>
    <w:basedOn w:val="Normal"/>
    <w:link w:val="CommentTextChar"/>
    <w:rsid w:val="00E756F4"/>
    <w:pPr>
      <w:spacing w:line="240" w:lineRule="auto"/>
    </w:pPr>
    <w:rPr>
      <w:sz w:val="20"/>
      <w:szCs w:val="20"/>
    </w:rPr>
  </w:style>
  <w:style w:type="character" w:customStyle="1" w:styleId="CommentTextChar">
    <w:name w:val="Comment Text Char"/>
    <w:basedOn w:val="DefaultParagraphFont"/>
    <w:link w:val="CommentText"/>
    <w:rsid w:val="00E756F4"/>
    <w:rPr>
      <w:sz w:val="20"/>
      <w:szCs w:val="20"/>
    </w:rPr>
  </w:style>
  <w:style w:type="paragraph" w:styleId="CommentSubject">
    <w:name w:val="annotation subject"/>
    <w:basedOn w:val="CommentText"/>
    <w:next w:val="CommentText"/>
    <w:link w:val="CommentSubjectChar"/>
    <w:rsid w:val="00E756F4"/>
    <w:pPr>
      <w:spacing w:after="0"/>
    </w:pPr>
    <w:rPr>
      <w:rFonts w:ascii="Times New Roman" w:eastAsia="Times New Roman" w:hAnsi="Times New Roman" w:cs="Times New Roman"/>
      <w:b/>
      <w:bCs/>
      <w:lang w:val="en-IE"/>
    </w:rPr>
  </w:style>
  <w:style w:type="character" w:customStyle="1" w:styleId="CommentSubjectChar">
    <w:name w:val="Comment Subject Char"/>
    <w:basedOn w:val="CommentTextChar"/>
    <w:link w:val="CommentSubject"/>
    <w:rsid w:val="00E756F4"/>
    <w:rPr>
      <w:rFonts w:ascii="Times New Roman" w:eastAsia="Times New Roman" w:hAnsi="Times New Roman" w:cs="Times New Roman"/>
      <w:b/>
      <w:bCs/>
      <w:sz w:val="20"/>
      <w:szCs w:val="20"/>
      <w:lang w:val="en-IE"/>
    </w:rPr>
  </w:style>
  <w:style w:type="paragraph" w:styleId="ListParagraph">
    <w:name w:val="List Paragraph"/>
    <w:basedOn w:val="Normal"/>
    <w:rsid w:val="0042062C"/>
    <w:pPr>
      <w:ind w:left="720"/>
      <w:contextualSpacing/>
    </w:pPr>
  </w:style>
  <w:style w:type="paragraph" w:customStyle="1" w:styleId="HTMLprformat">
    <w:name w:val="HTML préformaté"/>
    <w:basedOn w:val="Normal"/>
    <w:rsid w:val="00524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ACD"/>
  </w:style>
  <w:style w:type="paragraph" w:styleId="Footer">
    <w:name w:val="footer"/>
    <w:basedOn w:val="Normal"/>
    <w:link w:val="FooterChar"/>
    <w:uiPriority w:val="99"/>
    <w:unhideWhenUsed/>
    <w:rsid w:val="009C5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ACD"/>
  </w:style>
  <w:style w:type="paragraph" w:styleId="BalloonText">
    <w:name w:val="Balloon Text"/>
    <w:basedOn w:val="Normal"/>
    <w:link w:val="BalloonTextChar"/>
    <w:uiPriority w:val="99"/>
    <w:semiHidden/>
    <w:unhideWhenUsed/>
    <w:rsid w:val="009C5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ACD"/>
    <w:rPr>
      <w:rFonts w:ascii="Tahoma" w:hAnsi="Tahoma" w:cs="Tahoma"/>
      <w:sz w:val="16"/>
      <w:szCs w:val="16"/>
    </w:rPr>
  </w:style>
  <w:style w:type="character" w:styleId="Hyperlink">
    <w:name w:val="Hyperlink"/>
    <w:basedOn w:val="DefaultParagraphFont"/>
    <w:uiPriority w:val="99"/>
    <w:unhideWhenUsed/>
    <w:rsid w:val="00ED5A11"/>
    <w:rPr>
      <w:color w:val="0000FF" w:themeColor="hyperlink"/>
      <w:u w:val="single"/>
    </w:rPr>
  </w:style>
  <w:style w:type="paragraph" w:styleId="CommentText">
    <w:name w:val="annotation text"/>
    <w:basedOn w:val="Normal"/>
    <w:link w:val="CommentTextChar"/>
    <w:rsid w:val="00E756F4"/>
    <w:pPr>
      <w:spacing w:line="240" w:lineRule="auto"/>
    </w:pPr>
    <w:rPr>
      <w:sz w:val="20"/>
      <w:szCs w:val="20"/>
    </w:rPr>
  </w:style>
  <w:style w:type="character" w:customStyle="1" w:styleId="CommentTextChar">
    <w:name w:val="Comment Text Char"/>
    <w:basedOn w:val="DefaultParagraphFont"/>
    <w:link w:val="CommentText"/>
    <w:rsid w:val="00E756F4"/>
    <w:rPr>
      <w:sz w:val="20"/>
      <w:szCs w:val="20"/>
    </w:rPr>
  </w:style>
  <w:style w:type="paragraph" w:styleId="CommentSubject">
    <w:name w:val="annotation subject"/>
    <w:basedOn w:val="CommentText"/>
    <w:next w:val="CommentText"/>
    <w:link w:val="CommentSubjectChar"/>
    <w:rsid w:val="00E756F4"/>
    <w:pPr>
      <w:spacing w:after="0"/>
    </w:pPr>
    <w:rPr>
      <w:rFonts w:ascii="Times New Roman" w:eastAsia="Times New Roman" w:hAnsi="Times New Roman" w:cs="Times New Roman"/>
      <w:b/>
      <w:bCs/>
      <w:lang w:val="en-IE"/>
    </w:rPr>
  </w:style>
  <w:style w:type="character" w:customStyle="1" w:styleId="CommentSubjectChar">
    <w:name w:val="Comment Subject Char"/>
    <w:basedOn w:val="CommentTextChar"/>
    <w:link w:val="CommentSubject"/>
    <w:rsid w:val="00E756F4"/>
    <w:rPr>
      <w:rFonts w:ascii="Times New Roman" w:eastAsia="Times New Roman" w:hAnsi="Times New Roman" w:cs="Times New Roman"/>
      <w:b/>
      <w:bCs/>
      <w:sz w:val="20"/>
      <w:szCs w:val="20"/>
      <w:lang w:val="en-IE"/>
    </w:rPr>
  </w:style>
  <w:style w:type="paragraph" w:styleId="ListParagraph">
    <w:name w:val="List Paragraph"/>
    <w:basedOn w:val="Normal"/>
    <w:rsid w:val="0042062C"/>
    <w:pPr>
      <w:ind w:left="720"/>
      <w:contextualSpacing/>
    </w:pPr>
  </w:style>
  <w:style w:type="paragraph" w:customStyle="1" w:styleId="HTMLprformat">
    <w:name w:val="HTML préformaté"/>
    <w:basedOn w:val="Normal"/>
    <w:rsid w:val="00524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en-US"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na.negrea@comunicare.ro"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euroantreprenorat@comunicare.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Laurentiu Neagu</dc:creator>
  <cp:lastModifiedBy>Elena Negrea-Busuioc</cp:lastModifiedBy>
  <cp:revision>8</cp:revision>
  <dcterms:created xsi:type="dcterms:W3CDTF">2015-02-19T20:58:00Z</dcterms:created>
  <dcterms:modified xsi:type="dcterms:W3CDTF">2015-02-23T12:37:00Z</dcterms:modified>
</cp:coreProperties>
</file>